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15E27" w:rsidRDefault="00F92268" w:rsidP="00A350C4">
            <w:pPr>
              <w:pStyle w:val="RefTableHeader"/>
            </w:pPr>
            <w:r w:rsidRPr="00615E27">
              <w:t>Reference number(s)</w:t>
            </w:r>
          </w:p>
        </w:tc>
      </w:tr>
      <w:tr w:rsidR="00F92268" w:rsidRPr="00BD1CC1"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A71F92A" w:rsidR="00F92268" w:rsidRPr="00BD1CC1" w:rsidRDefault="00DF3887" w:rsidP="00EC3BCC">
            <w:pPr>
              <w:pStyle w:val="RefTableData"/>
            </w:pPr>
            <w:r w:rsidRPr="00DF3887">
              <w:t>661</w:t>
            </w:r>
            <w:r w:rsidR="005D05D5">
              <w:t>2</w:t>
            </w:r>
            <w:r w:rsidRPr="00DF3887">
              <w:t>-A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DCF2B48" w:rsidR="004B15BB" w:rsidRPr="00BD1CC1" w:rsidRDefault="003D37F1" w:rsidP="007E5C16">
      <w:pPr>
        <w:pStyle w:val="Heading1"/>
      </w:pPr>
      <w:r w:rsidRPr="003D37F1">
        <w:t>Specialty Guideline Management</w:t>
      </w:r>
      <w:r w:rsidR="00277791" w:rsidRPr="00AA1E6A">
        <w:br/>
      </w:r>
      <w:r w:rsidRPr="003D37F1">
        <w:t>Lymphir</w:t>
      </w:r>
    </w:p>
    <w:p w14:paraId="78861C92" w14:textId="3E6D5E2A" w:rsidR="00203468" w:rsidRPr="00BD1CC1" w:rsidRDefault="00C64534" w:rsidP="008E0F0D">
      <w:pPr>
        <w:pStyle w:val="Heading2"/>
      </w:pPr>
      <w:r w:rsidRPr="00BD1CC1">
        <w:t xml:space="preserve">Products Referenced by this </w:t>
      </w:r>
      <w:r w:rsidR="00501602" w:rsidRPr="00BD1CC1">
        <w:t>Document</w:t>
      </w:r>
    </w:p>
    <w:p w14:paraId="5455152B" w14:textId="0B1297C7"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O</w:t>
      </w:r>
      <w:r w:rsidR="00936C20">
        <w:t>ver</w:t>
      </w:r>
      <w:r w:rsidR="00F72322">
        <w:t>-</w:t>
      </w:r>
      <w:r w:rsidR="00936C20">
        <w:t>the</w:t>
      </w:r>
      <w:r w:rsidR="00F72322">
        <w:t>-</w:t>
      </w:r>
      <w:r w:rsidR="00936C20">
        <w:t>counter</w:t>
      </w:r>
      <w:r w:rsidRPr="00BD1CC1">
        <w:t xml:space="preserve"> </w:t>
      </w:r>
      <w:r w:rsidR="008B78AC">
        <w:t xml:space="preserve">(OTC) </w:t>
      </w:r>
      <w:r w:rsidRPr="00BD1CC1">
        <w:t>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190"/>
        <w:gridCol w:w="5580"/>
      </w:tblGrid>
      <w:tr w:rsidR="00F72322" w:rsidRPr="00BD1CC1" w14:paraId="4D30BE9A" w14:textId="77777777" w:rsidTr="00360AC0">
        <w:trPr>
          <w:cantSplit/>
          <w:trHeight w:val="288"/>
          <w:tblHeader/>
        </w:trPr>
        <w:tc>
          <w:tcPr>
            <w:tcW w:w="5190" w:type="dxa"/>
          </w:tcPr>
          <w:p w14:paraId="5B081FFF" w14:textId="77777777" w:rsidR="00F72322" w:rsidRPr="00BD1CC1" w:rsidRDefault="00F72322">
            <w:pPr>
              <w:pStyle w:val="TableHeader"/>
            </w:pPr>
            <w:r w:rsidRPr="00BD1CC1">
              <w:t>Brand Name</w:t>
            </w:r>
          </w:p>
        </w:tc>
        <w:tc>
          <w:tcPr>
            <w:tcW w:w="5580" w:type="dxa"/>
          </w:tcPr>
          <w:p w14:paraId="61C05592" w14:textId="77777777" w:rsidR="00F72322" w:rsidRPr="00BD1CC1" w:rsidRDefault="00F72322">
            <w:pPr>
              <w:pStyle w:val="TableHeader"/>
            </w:pPr>
            <w:r>
              <w:t>Generic Name</w:t>
            </w:r>
          </w:p>
        </w:tc>
      </w:tr>
      <w:tr w:rsidR="00F72322" w:rsidRPr="00BD1CC1" w14:paraId="0815537D" w14:textId="77777777" w:rsidTr="00360AC0">
        <w:trPr>
          <w:cantSplit/>
        </w:trPr>
        <w:tc>
          <w:tcPr>
            <w:tcW w:w="5190" w:type="dxa"/>
          </w:tcPr>
          <w:p w14:paraId="620CF2A9" w14:textId="50C5C9B3" w:rsidR="00F72322" w:rsidRPr="00BD1CC1" w:rsidRDefault="00F72322" w:rsidP="00DD5E92">
            <w:pPr>
              <w:pStyle w:val="TableData"/>
            </w:pPr>
            <w:proofErr w:type="spellStart"/>
            <w:r w:rsidRPr="003D37F1">
              <w:t>Lymphir</w:t>
            </w:r>
            <w:proofErr w:type="spellEnd"/>
          </w:p>
        </w:tc>
        <w:tc>
          <w:tcPr>
            <w:tcW w:w="5580" w:type="dxa"/>
          </w:tcPr>
          <w:p w14:paraId="25C619A2" w14:textId="0D7D4F83" w:rsidR="00F72322" w:rsidRPr="00BD1CC1" w:rsidRDefault="00F72322" w:rsidP="00DD5E92">
            <w:pPr>
              <w:pStyle w:val="TableData"/>
            </w:pPr>
            <w:proofErr w:type="spellStart"/>
            <w:r w:rsidRPr="003D37F1">
              <w:t>denileukin</w:t>
            </w:r>
            <w:proofErr w:type="spellEnd"/>
            <w:r w:rsidRPr="003D37F1">
              <w:t xml:space="preserve"> </w:t>
            </w:r>
            <w:proofErr w:type="spellStart"/>
            <w:r w:rsidRPr="003D37F1">
              <w:t>diftitox-cxdl</w:t>
            </w:r>
            <w:proofErr w:type="spellEnd"/>
          </w:p>
        </w:tc>
      </w:tr>
    </w:tbl>
    <w:p w14:paraId="14CE6108" w14:textId="375B6B4E" w:rsidR="00FC1AAD" w:rsidRDefault="00ED052F" w:rsidP="00ED052F">
      <w:pPr>
        <w:pStyle w:val="Heading2"/>
      </w:pPr>
      <w:r>
        <w:t>Indications</w:t>
      </w:r>
    </w:p>
    <w:p w14:paraId="61B86F96" w14:textId="235288E9" w:rsidR="008F2F29" w:rsidRPr="008F2F29" w:rsidRDefault="008F2F29" w:rsidP="008F2F29">
      <w:pPr>
        <w:pStyle w:val="BodyText"/>
      </w:pPr>
      <w:r w:rsidRPr="008F2F29">
        <w:t>The indications below including FDA-approved indications and compendial uses are considered a covered benefit provided that all the approval criteria are met and the member has no exclusions to the prescribed therapy.</w:t>
      </w:r>
    </w:p>
    <w:p w14:paraId="134B5687" w14:textId="18F048AE" w:rsidR="00ED052F" w:rsidRPr="00BD1CC1" w:rsidRDefault="00ED052F" w:rsidP="00ED052F">
      <w:pPr>
        <w:pStyle w:val="Heading3"/>
        <w:keepNext w:val="0"/>
      </w:pPr>
      <w:r w:rsidRPr="00BD1CC1">
        <w:t>FDA-approved Indications</w:t>
      </w:r>
      <w:r w:rsidR="008F2F29" w:rsidRPr="008F2F29">
        <w:rPr>
          <w:vertAlign w:val="superscript"/>
        </w:rPr>
        <w:t>1</w:t>
      </w:r>
    </w:p>
    <w:p w14:paraId="4C434745" w14:textId="457DCE73" w:rsidR="00ED052F" w:rsidRPr="008F2F29" w:rsidRDefault="008F2F29" w:rsidP="008F2F29">
      <w:pPr>
        <w:pStyle w:val="BodyText"/>
      </w:pPr>
      <w:r w:rsidRPr="008F2F29">
        <w:t>Adult patients with relapsed or refractory Stage I-III cutaneous T-cell lymphoma (CTCL) after at least one prior systemic therapy.</w:t>
      </w:r>
    </w:p>
    <w:p w14:paraId="28D94ACD" w14:textId="2C191E04" w:rsidR="008F2F29" w:rsidRPr="008F2F29" w:rsidRDefault="008F2F29" w:rsidP="008F2F29">
      <w:pPr>
        <w:pStyle w:val="Heading3"/>
      </w:pPr>
      <w:r w:rsidRPr="008F2F29">
        <w:t>Compendial Uses</w:t>
      </w:r>
      <w:r w:rsidRPr="008F2F29">
        <w:rPr>
          <w:vertAlign w:val="superscript"/>
        </w:rPr>
        <w:t>2</w:t>
      </w:r>
    </w:p>
    <w:p w14:paraId="33177417" w14:textId="77777777" w:rsidR="008F2F29" w:rsidRPr="008362DE" w:rsidRDefault="008F2F29" w:rsidP="008362DE">
      <w:pPr>
        <w:pStyle w:val="BodyText"/>
      </w:pPr>
      <w:r w:rsidRPr="008362DE">
        <w:t>Mycosis fungoides (MF) or Sézary syndrome (SS) – primary treatment</w:t>
      </w:r>
    </w:p>
    <w:p w14:paraId="50FAB203" w14:textId="77777777" w:rsidR="008F2F29" w:rsidRPr="008362DE" w:rsidRDefault="008F2F29" w:rsidP="008362DE">
      <w:pPr>
        <w:pStyle w:val="BodyText"/>
      </w:pPr>
      <w:r w:rsidRPr="008362DE">
        <w:t>All other indications are considered experimental/investigational and not medically necessary.</w:t>
      </w:r>
    </w:p>
    <w:p w14:paraId="50A38FBA" w14:textId="775236AF" w:rsidR="00FE0C63" w:rsidRPr="00C67E81" w:rsidRDefault="00685107" w:rsidP="005D05D5">
      <w:pPr>
        <w:pStyle w:val="Heading2"/>
        <w:tabs>
          <w:tab w:val="left" w:pos="9480"/>
        </w:tabs>
      </w:pPr>
      <w:r>
        <w:lastRenderedPageBreak/>
        <w:t>Coverage Criteria</w:t>
      </w:r>
    </w:p>
    <w:p w14:paraId="1F59E278" w14:textId="3DC1C145" w:rsidR="003414BF" w:rsidRPr="003414BF" w:rsidRDefault="003414BF" w:rsidP="003414BF">
      <w:pPr>
        <w:pStyle w:val="Heading3"/>
      </w:pPr>
      <w:r w:rsidRPr="003414BF">
        <w:t>Cutaneous T</w:t>
      </w:r>
      <w:r w:rsidR="00C901B5" w:rsidRPr="003414BF">
        <w:t>-Cell Lymphoma</w:t>
      </w:r>
      <w:r w:rsidR="00C901B5" w:rsidRPr="003414BF">
        <w:rPr>
          <w:vertAlign w:val="superscript"/>
        </w:rPr>
        <w:t>1</w:t>
      </w:r>
      <w:r w:rsidRPr="003414BF">
        <w:rPr>
          <w:vertAlign w:val="superscript"/>
        </w:rPr>
        <w:t>,2</w:t>
      </w:r>
    </w:p>
    <w:p w14:paraId="5651E94A" w14:textId="77777777" w:rsidR="003414BF" w:rsidRPr="003414BF" w:rsidRDefault="003414BF" w:rsidP="008362DE">
      <w:pPr>
        <w:pStyle w:val="BodyText"/>
      </w:pPr>
      <w:r w:rsidRPr="003414BF">
        <w:t>Authorization of 12 months may be granted for treatment of stage I-III cutaneous T-cell lymphoma.</w:t>
      </w:r>
    </w:p>
    <w:p w14:paraId="3A643EC3" w14:textId="614FE97C" w:rsidR="00A501AC" w:rsidRPr="00BD1CC1" w:rsidRDefault="00A501AC" w:rsidP="00A501AC">
      <w:pPr>
        <w:pStyle w:val="Heading2"/>
      </w:pPr>
      <w:r w:rsidRPr="00BD1CC1">
        <w:t>Continuation of Therapy</w:t>
      </w:r>
    </w:p>
    <w:p w14:paraId="32C8905D" w14:textId="12BFCF75" w:rsidR="00A501AC" w:rsidRPr="003414BF" w:rsidRDefault="003414BF" w:rsidP="003414BF">
      <w:pPr>
        <w:pStyle w:val="BodyText"/>
      </w:pPr>
      <w:r w:rsidRPr="003414BF">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7409917" w14:textId="735D292C" w:rsidR="00C96B3F" w:rsidRPr="008D1B34" w:rsidRDefault="00C96B3F" w:rsidP="008D1B34">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741EB7EB" w14:textId="77777777" w:rsidR="00382CB1" w:rsidRPr="00382CB1" w:rsidRDefault="00382CB1" w:rsidP="00382CB1">
      <w:pPr>
        <w:pStyle w:val="ReferenceOrdered"/>
      </w:pPr>
      <w:r w:rsidRPr="00382CB1">
        <w:t xml:space="preserve">Lymphir [package insert]. Cranford, NJ: </w:t>
      </w:r>
      <w:proofErr w:type="spellStart"/>
      <w:r w:rsidRPr="00382CB1">
        <w:t>Citius</w:t>
      </w:r>
      <w:proofErr w:type="spellEnd"/>
      <w:r w:rsidRPr="00382CB1">
        <w:t xml:space="preserve"> Pharmaceuticals, Inc.; August 2024.</w:t>
      </w:r>
    </w:p>
    <w:p w14:paraId="59829C3E" w14:textId="7B1804C1" w:rsidR="00382CB1" w:rsidRPr="00382CB1" w:rsidRDefault="00382CB1" w:rsidP="00382CB1">
      <w:pPr>
        <w:pStyle w:val="ReferenceOrdered"/>
      </w:pPr>
      <w:r w:rsidRPr="00382CB1">
        <w:t xml:space="preserve">The NCCN Drugs &amp; Biologics Compendium® © 2024 National Comprehensive Cancer Network, Inc. Available at: https://www.nccn.org. Accessed </w:t>
      </w:r>
      <w:r w:rsidR="00F72322">
        <w:t>December 16</w:t>
      </w:r>
      <w:r w:rsidRPr="00382CB1">
        <w:t>, 2024.</w:t>
      </w:r>
    </w:p>
    <w:sectPr w:rsidR="00382CB1" w:rsidRPr="00382CB1" w:rsidSect="00A46FFE">
      <w:type w:val="continuous"/>
      <w:pgSz w:w="12240" w:h="15840" w:code="1"/>
      <w:pgMar w:top="907" w:right="720" w:bottom="994"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BE053" w14:textId="77777777" w:rsidR="000D7F3B" w:rsidRDefault="000D7F3B">
      <w:r>
        <w:separator/>
      </w:r>
    </w:p>
  </w:endnote>
  <w:endnote w:type="continuationSeparator" w:id="0">
    <w:p w14:paraId="4F74CEC3" w14:textId="77777777" w:rsidR="000D7F3B" w:rsidRDefault="000D7F3B">
      <w:r>
        <w:continuationSeparator/>
      </w:r>
    </w:p>
  </w:endnote>
  <w:endnote w:type="continuationNotice" w:id="1">
    <w:p w14:paraId="0854937B" w14:textId="77777777" w:rsidR="000D7F3B" w:rsidRDefault="000D7F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B2CD8D4" w:rsidR="00C36B72" w:rsidRPr="00E234B9" w:rsidRDefault="00000000" w:rsidP="00CD25F5">
    <w:pPr>
      <w:pStyle w:val="Marginfooter"/>
    </w:pPr>
    <w:fldSimple w:instr=" FILENAME   \* MERGEFORMAT ">
      <w:r w:rsidR="005129CA">
        <w:t>Lymphir SGM 6612-A P2025.docx</w:t>
      </w:r>
    </w:fldSimple>
    <w:r w:rsidR="00C36B72" w:rsidRPr="00E234B9">
      <w:tab/>
      <w:t>© 202</w:t>
    </w:r>
    <w:r w:rsidR="00F72322">
      <w:t>5</w:t>
    </w:r>
    <w:r w:rsidR="00C36B72" w:rsidRPr="00E234B9">
      <w:t xml:space="preserve"> CVS Caremark. All rights reserved.</w:t>
    </w:r>
  </w:p>
  <w:p w14:paraId="61CF5924" w14:textId="5463F24C" w:rsidR="00C36B72" w:rsidRPr="00E234B9" w:rsidRDefault="00C36B72" w:rsidP="00A20623">
    <w:pPr>
      <w:pStyle w:val="Marginfooterdisclaimer"/>
    </w:pPr>
    <w:r w:rsidRPr="00E234B9">
      <w:t>This document contains c</w:t>
    </w:r>
    <w:r w:rsidRPr="00E234B9">
      <w:rPr>
        <w:snapToGrid w:val="0"/>
      </w:rPr>
      <w:t xml:space="preserve">onfidential and proprietary information of CVS Caremark and cannot be reproduced, distributed or printed without written permission from CVS Caremark. </w:t>
    </w:r>
    <w:r w:rsidRPr="00E234B9">
      <w:t xml:space="preserve">This document contains prescription brand name drugs that are trademarks or registered trademarks of pharmaceutical manufacturers that are not affiliated with </w:t>
    </w:r>
    <w:r w:rsidRPr="00E234B9">
      <w:rPr>
        <w:snapToGrid w:val="0"/>
      </w:rPr>
      <w:t>CVS Caremark</w:t>
    </w:r>
    <w:r w:rsidRPr="00E234B9">
      <w:t>.</w:t>
    </w:r>
  </w:p>
  <w:p w14:paraId="0DF8DEBC" w14:textId="16593EEF" w:rsidR="00F75C81" w:rsidRPr="00A46FFE" w:rsidRDefault="00C36B72" w:rsidP="00D30C9D">
    <w:pPr>
      <w:autoSpaceDE w:val="0"/>
      <w:autoSpaceDN w:val="0"/>
      <w:adjustRightInd w:val="0"/>
      <w:jc w:val="center"/>
      <w:rPr>
        <w:sz w:val="16"/>
        <w:szCs w:val="16"/>
      </w:rPr>
    </w:pPr>
    <w:r w:rsidRPr="00A46FFE">
      <w:rPr>
        <w:rFonts w:cs="Arial"/>
        <w:sz w:val="16"/>
        <w:szCs w:val="16"/>
      </w:rPr>
      <w:fldChar w:fldCharType="begin"/>
    </w:r>
    <w:r w:rsidRPr="00A46FFE">
      <w:rPr>
        <w:rFonts w:cs="Arial"/>
        <w:sz w:val="16"/>
        <w:szCs w:val="16"/>
      </w:rPr>
      <w:instrText xml:space="preserve"> PAGE </w:instrText>
    </w:r>
    <w:r w:rsidRPr="00A46FFE">
      <w:rPr>
        <w:rFonts w:cs="Arial"/>
        <w:sz w:val="16"/>
        <w:szCs w:val="16"/>
      </w:rPr>
      <w:fldChar w:fldCharType="separate"/>
    </w:r>
    <w:r w:rsidRPr="00A46FFE">
      <w:rPr>
        <w:rFonts w:cs="Arial"/>
        <w:sz w:val="16"/>
        <w:szCs w:val="16"/>
      </w:rPr>
      <w:t>8</w:t>
    </w:r>
    <w:r w:rsidRPr="00A46FFE">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8322B96" w:rsidR="00F50D98" w:rsidRPr="00206AA5" w:rsidRDefault="00000000" w:rsidP="00CD25F5">
    <w:pPr>
      <w:pStyle w:val="Marginfooter"/>
    </w:pPr>
    <w:fldSimple w:instr=" FILENAME   \* MERGEFORMAT ">
      <w:r w:rsidR="005129CA" w:rsidRPr="005129CA">
        <w:rPr>
          <w:snapToGrid/>
          <w:color w:val="auto"/>
        </w:rPr>
        <w:t>Lymphir</w:t>
      </w:r>
      <w:r w:rsidR="005129CA">
        <w:t xml:space="preserve"> SGM 6612-A</w:t>
      </w:r>
      <w:r w:rsidR="005129CA" w:rsidRPr="005129CA">
        <w:rPr>
          <w:snapToGrid/>
          <w:color w:val="auto"/>
        </w:rPr>
        <w:t xml:space="preserve"> P2025.docx</w:t>
      </w:r>
    </w:fldSimple>
    <w:r w:rsidR="00F50D98" w:rsidRPr="00206AA5">
      <w:tab/>
      <w:t>© 202</w:t>
    </w:r>
    <w:r w:rsidR="00F72322">
      <w:t>5</w:t>
    </w:r>
    <w:r w:rsidR="00F50D98" w:rsidRPr="00206AA5">
      <w:t xml:space="preserve"> CVS Caremark. All rights reserved.</w:t>
    </w:r>
  </w:p>
  <w:p w14:paraId="39BFE579" w14:textId="43E2E77E" w:rsidR="00F50D98" w:rsidRPr="00206AA5" w:rsidRDefault="00F50D98"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64F317B8" w14:textId="341313EE" w:rsidR="00ED04EC" w:rsidRPr="00F50D98" w:rsidRDefault="00F50D98" w:rsidP="00D30C9D">
    <w:pPr>
      <w:autoSpaceDE w:val="0"/>
      <w:autoSpaceDN w:val="0"/>
      <w:adjustRightInd w:val="0"/>
      <w:jc w:val="center"/>
      <w:rPr>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914F2" w14:textId="77777777" w:rsidR="000D7F3B" w:rsidRDefault="000D7F3B">
      <w:r>
        <w:separator/>
      </w:r>
    </w:p>
  </w:footnote>
  <w:footnote w:type="continuationSeparator" w:id="0">
    <w:p w14:paraId="7898F7AE" w14:textId="77777777" w:rsidR="000D7F3B" w:rsidRDefault="000D7F3B">
      <w:r>
        <w:continuationSeparator/>
      </w:r>
    </w:p>
  </w:footnote>
  <w:footnote w:type="continuationNotice" w:id="1">
    <w:p w14:paraId="29317150" w14:textId="77777777" w:rsidR="000D7F3B" w:rsidRDefault="000D7F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C67E81">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527EE89C" w:rsidR="00ED04EC" w:rsidRPr="00AA1E6A" w:rsidRDefault="00DF3887" w:rsidP="00C67E81">
          <w:pPr>
            <w:pStyle w:val="RefTableData"/>
          </w:pPr>
          <w:r w:rsidRPr="00DF3887">
            <w:t>661</w:t>
          </w:r>
          <w:r w:rsidR="005D05D5">
            <w:t>2</w:t>
          </w:r>
          <w:r w:rsidRPr="00DF3887">
            <w:t>-A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21C8E"/>
    <w:multiLevelType w:val="hybridMultilevel"/>
    <w:tmpl w:val="F432EB84"/>
    <w:lvl w:ilvl="0" w:tplc="DBAC0722">
      <w:start w:val="1"/>
      <w:numFmt w:val="bullet"/>
      <w:lvlText w:val=""/>
      <w:lvlJc w:val="left"/>
      <w:pPr>
        <w:ind w:left="720" w:hanging="360"/>
      </w:pPr>
      <w:rPr>
        <w:rFonts w:ascii="Symbol" w:hAnsi="Symbol"/>
      </w:rPr>
    </w:lvl>
    <w:lvl w:ilvl="1" w:tplc="D5E89C00">
      <w:start w:val="1"/>
      <w:numFmt w:val="bullet"/>
      <w:lvlText w:val=""/>
      <w:lvlJc w:val="left"/>
      <w:pPr>
        <w:ind w:left="1440" w:hanging="360"/>
      </w:pPr>
      <w:rPr>
        <w:rFonts w:ascii="Symbol" w:hAnsi="Symbol"/>
      </w:rPr>
    </w:lvl>
    <w:lvl w:ilvl="2" w:tplc="BA5AC63C">
      <w:start w:val="1"/>
      <w:numFmt w:val="bullet"/>
      <w:lvlText w:val=""/>
      <w:lvlJc w:val="left"/>
      <w:pPr>
        <w:ind w:left="720" w:hanging="360"/>
      </w:pPr>
      <w:rPr>
        <w:rFonts w:ascii="Symbol" w:hAnsi="Symbol"/>
      </w:rPr>
    </w:lvl>
    <w:lvl w:ilvl="3" w:tplc="5EF43F22">
      <w:start w:val="1"/>
      <w:numFmt w:val="bullet"/>
      <w:lvlText w:val=""/>
      <w:lvlJc w:val="left"/>
      <w:pPr>
        <w:ind w:left="720" w:hanging="360"/>
      </w:pPr>
      <w:rPr>
        <w:rFonts w:ascii="Symbol" w:hAnsi="Symbol"/>
      </w:rPr>
    </w:lvl>
    <w:lvl w:ilvl="4" w:tplc="4CC459B8">
      <w:start w:val="1"/>
      <w:numFmt w:val="bullet"/>
      <w:lvlText w:val=""/>
      <w:lvlJc w:val="left"/>
      <w:pPr>
        <w:ind w:left="720" w:hanging="360"/>
      </w:pPr>
      <w:rPr>
        <w:rFonts w:ascii="Symbol" w:hAnsi="Symbol"/>
      </w:rPr>
    </w:lvl>
    <w:lvl w:ilvl="5" w:tplc="4DD2D46C">
      <w:start w:val="1"/>
      <w:numFmt w:val="bullet"/>
      <w:lvlText w:val=""/>
      <w:lvlJc w:val="left"/>
      <w:pPr>
        <w:ind w:left="720" w:hanging="360"/>
      </w:pPr>
      <w:rPr>
        <w:rFonts w:ascii="Symbol" w:hAnsi="Symbol"/>
      </w:rPr>
    </w:lvl>
    <w:lvl w:ilvl="6" w:tplc="D89C4FCC">
      <w:start w:val="1"/>
      <w:numFmt w:val="bullet"/>
      <w:lvlText w:val=""/>
      <w:lvlJc w:val="left"/>
      <w:pPr>
        <w:ind w:left="720" w:hanging="360"/>
      </w:pPr>
      <w:rPr>
        <w:rFonts w:ascii="Symbol" w:hAnsi="Symbol"/>
      </w:rPr>
    </w:lvl>
    <w:lvl w:ilvl="7" w:tplc="DED88A34">
      <w:start w:val="1"/>
      <w:numFmt w:val="bullet"/>
      <w:lvlText w:val=""/>
      <w:lvlJc w:val="left"/>
      <w:pPr>
        <w:ind w:left="720" w:hanging="360"/>
      </w:pPr>
      <w:rPr>
        <w:rFonts w:ascii="Symbol" w:hAnsi="Symbol"/>
      </w:rPr>
    </w:lvl>
    <w:lvl w:ilvl="8" w:tplc="7F4AC3BE">
      <w:start w:val="1"/>
      <w:numFmt w:val="bullet"/>
      <w:lvlText w:val=""/>
      <w:lvlJc w:val="left"/>
      <w:pPr>
        <w:ind w:left="720" w:hanging="360"/>
      </w:pPr>
      <w:rPr>
        <w:rFonts w:ascii="Symbol" w:hAnsi="Symbol"/>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7D4265"/>
    <w:multiLevelType w:val="hybridMultilevel"/>
    <w:tmpl w:val="C9A6603C"/>
    <w:lvl w:ilvl="0" w:tplc="FC7CC334">
      <w:start w:val="1"/>
      <w:numFmt w:val="bullet"/>
      <w:lvlText w:val=""/>
      <w:lvlJc w:val="left"/>
      <w:pPr>
        <w:ind w:left="720" w:hanging="360"/>
      </w:pPr>
      <w:rPr>
        <w:rFonts w:ascii="Symbol" w:hAnsi="Symbol"/>
      </w:rPr>
    </w:lvl>
    <w:lvl w:ilvl="1" w:tplc="5DA85714">
      <w:start w:val="1"/>
      <w:numFmt w:val="bullet"/>
      <w:lvlText w:val=""/>
      <w:lvlJc w:val="left"/>
      <w:pPr>
        <w:ind w:left="1440" w:hanging="360"/>
      </w:pPr>
      <w:rPr>
        <w:rFonts w:ascii="Symbol" w:hAnsi="Symbol"/>
      </w:rPr>
    </w:lvl>
    <w:lvl w:ilvl="2" w:tplc="E0D4E4E2">
      <w:start w:val="1"/>
      <w:numFmt w:val="bullet"/>
      <w:lvlText w:val=""/>
      <w:lvlJc w:val="left"/>
      <w:pPr>
        <w:ind w:left="720" w:hanging="360"/>
      </w:pPr>
      <w:rPr>
        <w:rFonts w:ascii="Symbol" w:hAnsi="Symbol"/>
      </w:rPr>
    </w:lvl>
    <w:lvl w:ilvl="3" w:tplc="756E882C">
      <w:start w:val="1"/>
      <w:numFmt w:val="bullet"/>
      <w:lvlText w:val=""/>
      <w:lvlJc w:val="left"/>
      <w:pPr>
        <w:ind w:left="720" w:hanging="360"/>
      </w:pPr>
      <w:rPr>
        <w:rFonts w:ascii="Symbol" w:hAnsi="Symbol"/>
      </w:rPr>
    </w:lvl>
    <w:lvl w:ilvl="4" w:tplc="79B0B8FE">
      <w:start w:val="1"/>
      <w:numFmt w:val="bullet"/>
      <w:lvlText w:val=""/>
      <w:lvlJc w:val="left"/>
      <w:pPr>
        <w:ind w:left="720" w:hanging="360"/>
      </w:pPr>
      <w:rPr>
        <w:rFonts w:ascii="Symbol" w:hAnsi="Symbol"/>
      </w:rPr>
    </w:lvl>
    <w:lvl w:ilvl="5" w:tplc="9E3A8182">
      <w:start w:val="1"/>
      <w:numFmt w:val="bullet"/>
      <w:lvlText w:val=""/>
      <w:lvlJc w:val="left"/>
      <w:pPr>
        <w:ind w:left="720" w:hanging="360"/>
      </w:pPr>
      <w:rPr>
        <w:rFonts w:ascii="Symbol" w:hAnsi="Symbol"/>
      </w:rPr>
    </w:lvl>
    <w:lvl w:ilvl="6" w:tplc="F9806090">
      <w:start w:val="1"/>
      <w:numFmt w:val="bullet"/>
      <w:lvlText w:val=""/>
      <w:lvlJc w:val="left"/>
      <w:pPr>
        <w:ind w:left="720" w:hanging="360"/>
      </w:pPr>
      <w:rPr>
        <w:rFonts w:ascii="Symbol" w:hAnsi="Symbol"/>
      </w:rPr>
    </w:lvl>
    <w:lvl w:ilvl="7" w:tplc="F6FA5D22">
      <w:start w:val="1"/>
      <w:numFmt w:val="bullet"/>
      <w:lvlText w:val=""/>
      <w:lvlJc w:val="left"/>
      <w:pPr>
        <w:ind w:left="720" w:hanging="360"/>
      </w:pPr>
      <w:rPr>
        <w:rFonts w:ascii="Symbol" w:hAnsi="Symbol"/>
      </w:rPr>
    </w:lvl>
    <w:lvl w:ilvl="8" w:tplc="781066FE">
      <w:start w:val="1"/>
      <w:numFmt w:val="bullet"/>
      <w:lvlText w:val=""/>
      <w:lvlJc w:val="left"/>
      <w:pPr>
        <w:ind w:left="720" w:hanging="360"/>
      </w:pPr>
      <w:rPr>
        <w:rFonts w:ascii="Symbol" w:hAnsi="Symbol"/>
      </w:rPr>
    </w:lvl>
  </w:abstractNum>
  <w:abstractNum w:abstractNumId="27" w15:restartNumberingAfterBreak="0">
    <w:nsid w:val="6F0444E2"/>
    <w:multiLevelType w:val="hybridMultilevel"/>
    <w:tmpl w:val="8A904208"/>
    <w:lvl w:ilvl="0" w:tplc="AFF4C30C">
      <w:start w:val="1"/>
      <w:numFmt w:val="bullet"/>
      <w:lvlText w:val=""/>
      <w:lvlJc w:val="left"/>
      <w:pPr>
        <w:ind w:left="720" w:hanging="360"/>
      </w:pPr>
      <w:rPr>
        <w:rFonts w:ascii="Symbol" w:hAnsi="Symbol"/>
      </w:rPr>
    </w:lvl>
    <w:lvl w:ilvl="1" w:tplc="87DCA0AC">
      <w:start w:val="1"/>
      <w:numFmt w:val="bullet"/>
      <w:lvlText w:val=""/>
      <w:lvlJc w:val="left"/>
      <w:pPr>
        <w:ind w:left="1440" w:hanging="360"/>
      </w:pPr>
      <w:rPr>
        <w:rFonts w:ascii="Symbol" w:hAnsi="Symbol"/>
      </w:rPr>
    </w:lvl>
    <w:lvl w:ilvl="2" w:tplc="65DC13EC">
      <w:start w:val="1"/>
      <w:numFmt w:val="bullet"/>
      <w:lvlText w:val=""/>
      <w:lvlJc w:val="left"/>
      <w:pPr>
        <w:ind w:left="720" w:hanging="360"/>
      </w:pPr>
      <w:rPr>
        <w:rFonts w:ascii="Symbol" w:hAnsi="Symbol"/>
      </w:rPr>
    </w:lvl>
    <w:lvl w:ilvl="3" w:tplc="B3C62B98">
      <w:start w:val="1"/>
      <w:numFmt w:val="bullet"/>
      <w:lvlText w:val=""/>
      <w:lvlJc w:val="left"/>
      <w:pPr>
        <w:ind w:left="720" w:hanging="360"/>
      </w:pPr>
      <w:rPr>
        <w:rFonts w:ascii="Symbol" w:hAnsi="Symbol"/>
      </w:rPr>
    </w:lvl>
    <w:lvl w:ilvl="4" w:tplc="E42AC9B2">
      <w:start w:val="1"/>
      <w:numFmt w:val="bullet"/>
      <w:lvlText w:val=""/>
      <w:lvlJc w:val="left"/>
      <w:pPr>
        <w:ind w:left="720" w:hanging="360"/>
      </w:pPr>
      <w:rPr>
        <w:rFonts w:ascii="Symbol" w:hAnsi="Symbol"/>
      </w:rPr>
    </w:lvl>
    <w:lvl w:ilvl="5" w:tplc="50B24F50">
      <w:start w:val="1"/>
      <w:numFmt w:val="bullet"/>
      <w:lvlText w:val=""/>
      <w:lvlJc w:val="left"/>
      <w:pPr>
        <w:ind w:left="720" w:hanging="360"/>
      </w:pPr>
      <w:rPr>
        <w:rFonts w:ascii="Symbol" w:hAnsi="Symbol"/>
      </w:rPr>
    </w:lvl>
    <w:lvl w:ilvl="6" w:tplc="2E1C5630">
      <w:start w:val="1"/>
      <w:numFmt w:val="bullet"/>
      <w:lvlText w:val=""/>
      <w:lvlJc w:val="left"/>
      <w:pPr>
        <w:ind w:left="720" w:hanging="360"/>
      </w:pPr>
      <w:rPr>
        <w:rFonts w:ascii="Symbol" w:hAnsi="Symbol"/>
      </w:rPr>
    </w:lvl>
    <w:lvl w:ilvl="7" w:tplc="D87C9ADA">
      <w:start w:val="1"/>
      <w:numFmt w:val="bullet"/>
      <w:lvlText w:val=""/>
      <w:lvlJc w:val="left"/>
      <w:pPr>
        <w:ind w:left="720" w:hanging="360"/>
      </w:pPr>
      <w:rPr>
        <w:rFonts w:ascii="Symbol" w:hAnsi="Symbol"/>
      </w:rPr>
    </w:lvl>
    <w:lvl w:ilvl="8" w:tplc="2D64D35C">
      <w:start w:val="1"/>
      <w:numFmt w:val="bullet"/>
      <w:lvlText w:val=""/>
      <w:lvlJc w:val="left"/>
      <w:pPr>
        <w:ind w:left="720" w:hanging="360"/>
      </w:pPr>
      <w:rPr>
        <w:rFonts w:ascii="Symbol" w:hAnsi="Symbol"/>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4"/>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7"/>
  </w:num>
  <w:num w:numId="17" w16cid:durableId="2128498676">
    <w:abstractNumId w:val="28"/>
  </w:num>
  <w:num w:numId="18" w16cid:durableId="299724409">
    <w:abstractNumId w:val="20"/>
  </w:num>
  <w:num w:numId="19" w16cid:durableId="214585573">
    <w:abstractNumId w:val="14"/>
  </w:num>
  <w:num w:numId="20" w16cid:durableId="1289816170">
    <w:abstractNumId w:val="15"/>
  </w:num>
  <w:num w:numId="21" w16cid:durableId="1066490929">
    <w:abstractNumId w:val="29"/>
  </w:num>
  <w:num w:numId="22" w16cid:durableId="1472481103">
    <w:abstractNumId w:val="22"/>
  </w:num>
  <w:num w:numId="23" w16cid:durableId="1997420403">
    <w:abstractNumId w:val="25"/>
  </w:num>
  <w:num w:numId="24" w16cid:durableId="33312838">
    <w:abstractNumId w:val="21"/>
  </w:num>
  <w:num w:numId="25" w16cid:durableId="507404939">
    <w:abstractNumId w:val="16"/>
  </w:num>
  <w:num w:numId="26" w16cid:durableId="1226261476">
    <w:abstractNumId w:val="26"/>
  </w:num>
  <w:num w:numId="27" w16cid:durableId="96827982">
    <w:abstractNumId w:val="27"/>
  </w:num>
  <w:num w:numId="28" w16cid:durableId="1865433629">
    <w:abstractNumId w:val="18"/>
  </w:num>
  <w:num w:numId="29" w16cid:durableId="1974553387">
    <w:abstractNumId w:val="23"/>
  </w:num>
  <w:num w:numId="30" w16cid:durableId="2105029227">
    <w:abstractNumId w:val="24"/>
    <w:lvlOverride w:ilvl="0">
      <w:startOverride w:val="1"/>
    </w:lvlOverride>
  </w:num>
  <w:num w:numId="31" w16cid:durableId="76966890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D21"/>
    <w:rsid w:val="0002338D"/>
    <w:rsid w:val="00023954"/>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6BB0"/>
    <w:rsid w:val="00037636"/>
    <w:rsid w:val="00037A95"/>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277"/>
    <w:rsid w:val="00054638"/>
    <w:rsid w:val="000548A4"/>
    <w:rsid w:val="000548E0"/>
    <w:rsid w:val="000554ED"/>
    <w:rsid w:val="00055897"/>
    <w:rsid w:val="000561B5"/>
    <w:rsid w:val="000564BC"/>
    <w:rsid w:val="00057358"/>
    <w:rsid w:val="00057C68"/>
    <w:rsid w:val="00057CD8"/>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4440"/>
    <w:rsid w:val="000A5AE5"/>
    <w:rsid w:val="000A709B"/>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B78"/>
    <w:rsid w:val="000D5D4B"/>
    <w:rsid w:val="000D7F3B"/>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D2D"/>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37EBC"/>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34E5"/>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0D7E"/>
    <w:rsid w:val="001914C8"/>
    <w:rsid w:val="001916D1"/>
    <w:rsid w:val="00191904"/>
    <w:rsid w:val="00192769"/>
    <w:rsid w:val="001933EE"/>
    <w:rsid w:val="00193696"/>
    <w:rsid w:val="001944B7"/>
    <w:rsid w:val="001958E7"/>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A5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424"/>
    <w:rsid w:val="002017F4"/>
    <w:rsid w:val="0020279F"/>
    <w:rsid w:val="002027FF"/>
    <w:rsid w:val="00202A61"/>
    <w:rsid w:val="00202E2F"/>
    <w:rsid w:val="00203468"/>
    <w:rsid w:val="002036D7"/>
    <w:rsid w:val="002041BB"/>
    <w:rsid w:val="002041DB"/>
    <w:rsid w:val="00204EAC"/>
    <w:rsid w:val="002063D0"/>
    <w:rsid w:val="00206414"/>
    <w:rsid w:val="00206AA5"/>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6E7"/>
    <w:rsid w:val="00235900"/>
    <w:rsid w:val="00235A26"/>
    <w:rsid w:val="00235ADF"/>
    <w:rsid w:val="00235FEF"/>
    <w:rsid w:val="002365F3"/>
    <w:rsid w:val="00240136"/>
    <w:rsid w:val="00240736"/>
    <w:rsid w:val="00240C70"/>
    <w:rsid w:val="0024185D"/>
    <w:rsid w:val="002423DE"/>
    <w:rsid w:val="00242E29"/>
    <w:rsid w:val="00242F54"/>
    <w:rsid w:val="00243017"/>
    <w:rsid w:val="0024305D"/>
    <w:rsid w:val="00243BDB"/>
    <w:rsid w:val="00244442"/>
    <w:rsid w:val="0024498F"/>
    <w:rsid w:val="002504F9"/>
    <w:rsid w:val="00250C39"/>
    <w:rsid w:val="00250E25"/>
    <w:rsid w:val="00251EE2"/>
    <w:rsid w:val="00252CE1"/>
    <w:rsid w:val="0025338B"/>
    <w:rsid w:val="0025395A"/>
    <w:rsid w:val="00254313"/>
    <w:rsid w:val="0025443F"/>
    <w:rsid w:val="00254CF2"/>
    <w:rsid w:val="0025520A"/>
    <w:rsid w:val="002556AB"/>
    <w:rsid w:val="002568ED"/>
    <w:rsid w:val="00260902"/>
    <w:rsid w:val="00260A91"/>
    <w:rsid w:val="00261738"/>
    <w:rsid w:val="00261BF4"/>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3E1"/>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A53"/>
    <w:rsid w:val="00296EC3"/>
    <w:rsid w:val="00297405"/>
    <w:rsid w:val="002A02BE"/>
    <w:rsid w:val="002A0A3B"/>
    <w:rsid w:val="002A0DB7"/>
    <w:rsid w:val="002A0F12"/>
    <w:rsid w:val="002A1602"/>
    <w:rsid w:val="002A16BD"/>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2468"/>
    <w:rsid w:val="002B306F"/>
    <w:rsid w:val="002B3172"/>
    <w:rsid w:val="002B337E"/>
    <w:rsid w:val="002B4271"/>
    <w:rsid w:val="002B4B75"/>
    <w:rsid w:val="002B6A94"/>
    <w:rsid w:val="002B751E"/>
    <w:rsid w:val="002B7A9E"/>
    <w:rsid w:val="002B7F07"/>
    <w:rsid w:val="002B7FDB"/>
    <w:rsid w:val="002C0682"/>
    <w:rsid w:val="002C1498"/>
    <w:rsid w:val="002C1864"/>
    <w:rsid w:val="002C20ED"/>
    <w:rsid w:val="002C25CE"/>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1C31"/>
    <w:rsid w:val="003127DD"/>
    <w:rsid w:val="00312E1C"/>
    <w:rsid w:val="00313EB3"/>
    <w:rsid w:val="00313FC5"/>
    <w:rsid w:val="00315003"/>
    <w:rsid w:val="00315D6F"/>
    <w:rsid w:val="00316DC1"/>
    <w:rsid w:val="00320228"/>
    <w:rsid w:val="00320652"/>
    <w:rsid w:val="003213DE"/>
    <w:rsid w:val="00321446"/>
    <w:rsid w:val="00322EB1"/>
    <w:rsid w:val="00323534"/>
    <w:rsid w:val="003242E2"/>
    <w:rsid w:val="003243F4"/>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4BF"/>
    <w:rsid w:val="00341929"/>
    <w:rsid w:val="00341F47"/>
    <w:rsid w:val="00342365"/>
    <w:rsid w:val="00342762"/>
    <w:rsid w:val="00343BE2"/>
    <w:rsid w:val="00343E90"/>
    <w:rsid w:val="003468AA"/>
    <w:rsid w:val="00346D5D"/>
    <w:rsid w:val="00347C02"/>
    <w:rsid w:val="00350DF1"/>
    <w:rsid w:val="003524E5"/>
    <w:rsid w:val="00352959"/>
    <w:rsid w:val="00352B5E"/>
    <w:rsid w:val="00352BC7"/>
    <w:rsid w:val="003543BE"/>
    <w:rsid w:val="00354AE7"/>
    <w:rsid w:val="00354CFD"/>
    <w:rsid w:val="0035536A"/>
    <w:rsid w:val="00355509"/>
    <w:rsid w:val="00355DCF"/>
    <w:rsid w:val="003569BC"/>
    <w:rsid w:val="003579FC"/>
    <w:rsid w:val="003608FE"/>
    <w:rsid w:val="00360AC0"/>
    <w:rsid w:val="00360F75"/>
    <w:rsid w:val="003617CD"/>
    <w:rsid w:val="00362CE9"/>
    <w:rsid w:val="00363EF7"/>
    <w:rsid w:val="00363F55"/>
    <w:rsid w:val="0036404E"/>
    <w:rsid w:val="00364436"/>
    <w:rsid w:val="003649B7"/>
    <w:rsid w:val="00364A41"/>
    <w:rsid w:val="00364AC1"/>
    <w:rsid w:val="00364CF9"/>
    <w:rsid w:val="003653E2"/>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538"/>
    <w:rsid w:val="00381B05"/>
    <w:rsid w:val="00381B16"/>
    <w:rsid w:val="0038248C"/>
    <w:rsid w:val="00382C29"/>
    <w:rsid w:val="00382C85"/>
    <w:rsid w:val="00382CB1"/>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1000"/>
    <w:rsid w:val="003A2056"/>
    <w:rsid w:val="003A4B3A"/>
    <w:rsid w:val="003A5707"/>
    <w:rsid w:val="003A6459"/>
    <w:rsid w:val="003A7860"/>
    <w:rsid w:val="003A796A"/>
    <w:rsid w:val="003B009E"/>
    <w:rsid w:val="003B1472"/>
    <w:rsid w:val="003B1A5F"/>
    <w:rsid w:val="003B1D0F"/>
    <w:rsid w:val="003B282B"/>
    <w:rsid w:val="003B2B19"/>
    <w:rsid w:val="003B4BC1"/>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2F4D"/>
    <w:rsid w:val="003D37ED"/>
    <w:rsid w:val="003D37F1"/>
    <w:rsid w:val="003D395A"/>
    <w:rsid w:val="003D46B0"/>
    <w:rsid w:val="003D542C"/>
    <w:rsid w:val="003D6970"/>
    <w:rsid w:val="003D6BFA"/>
    <w:rsid w:val="003D6C2D"/>
    <w:rsid w:val="003E1C0F"/>
    <w:rsid w:val="003E28D8"/>
    <w:rsid w:val="003E3201"/>
    <w:rsid w:val="003E3F3B"/>
    <w:rsid w:val="003E4C87"/>
    <w:rsid w:val="003E54DE"/>
    <w:rsid w:val="003E57BF"/>
    <w:rsid w:val="003E628A"/>
    <w:rsid w:val="003E6FC2"/>
    <w:rsid w:val="003E7191"/>
    <w:rsid w:val="003E7944"/>
    <w:rsid w:val="003F057E"/>
    <w:rsid w:val="003F125A"/>
    <w:rsid w:val="003F1304"/>
    <w:rsid w:val="003F21EE"/>
    <w:rsid w:val="003F2C67"/>
    <w:rsid w:val="003F373A"/>
    <w:rsid w:val="003F5824"/>
    <w:rsid w:val="003F61E0"/>
    <w:rsid w:val="003F641B"/>
    <w:rsid w:val="003F6B36"/>
    <w:rsid w:val="003F75BB"/>
    <w:rsid w:val="003F7A17"/>
    <w:rsid w:val="004003B3"/>
    <w:rsid w:val="00401820"/>
    <w:rsid w:val="00402C8F"/>
    <w:rsid w:val="00402FED"/>
    <w:rsid w:val="00403087"/>
    <w:rsid w:val="004032A5"/>
    <w:rsid w:val="0040594C"/>
    <w:rsid w:val="00405C5D"/>
    <w:rsid w:val="00407C38"/>
    <w:rsid w:val="0041061B"/>
    <w:rsid w:val="00411195"/>
    <w:rsid w:val="00411413"/>
    <w:rsid w:val="004117FE"/>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A68"/>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191"/>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78A"/>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614"/>
    <w:rsid w:val="004B5877"/>
    <w:rsid w:val="004B5B65"/>
    <w:rsid w:val="004B7C84"/>
    <w:rsid w:val="004C00B9"/>
    <w:rsid w:val="004C0355"/>
    <w:rsid w:val="004C03AC"/>
    <w:rsid w:val="004C0A3F"/>
    <w:rsid w:val="004C2AB3"/>
    <w:rsid w:val="004C32BE"/>
    <w:rsid w:val="004C3F91"/>
    <w:rsid w:val="004C4493"/>
    <w:rsid w:val="004C45E2"/>
    <w:rsid w:val="004C47CB"/>
    <w:rsid w:val="004C4D0C"/>
    <w:rsid w:val="004C53B2"/>
    <w:rsid w:val="004C64EE"/>
    <w:rsid w:val="004C65F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0EB"/>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BC7"/>
    <w:rsid w:val="00511426"/>
    <w:rsid w:val="00511573"/>
    <w:rsid w:val="00512353"/>
    <w:rsid w:val="00512508"/>
    <w:rsid w:val="005129CA"/>
    <w:rsid w:val="0051337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131"/>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6D82"/>
    <w:rsid w:val="00537391"/>
    <w:rsid w:val="00537C2E"/>
    <w:rsid w:val="00540230"/>
    <w:rsid w:val="00540519"/>
    <w:rsid w:val="0054060A"/>
    <w:rsid w:val="00540769"/>
    <w:rsid w:val="0054123C"/>
    <w:rsid w:val="00542E88"/>
    <w:rsid w:val="00544B17"/>
    <w:rsid w:val="00544D46"/>
    <w:rsid w:val="00545584"/>
    <w:rsid w:val="00546095"/>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8FD"/>
    <w:rsid w:val="00565A82"/>
    <w:rsid w:val="00565D50"/>
    <w:rsid w:val="00566202"/>
    <w:rsid w:val="00566666"/>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1FAF"/>
    <w:rsid w:val="00592474"/>
    <w:rsid w:val="0059286F"/>
    <w:rsid w:val="00592B8E"/>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32"/>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5D5"/>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B8A"/>
    <w:rsid w:val="00606DBB"/>
    <w:rsid w:val="006077A7"/>
    <w:rsid w:val="00607959"/>
    <w:rsid w:val="0060798E"/>
    <w:rsid w:val="00610F93"/>
    <w:rsid w:val="00610FBE"/>
    <w:rsid w:val="0061140D"/>
    <w:rsid w:val="00613278"/>
    <w:rsid w:val="006138E0"/>
    <w:rsid w:val="00613BFA"/>
    <w:rsid w:val="00614687"/>
    <w:rsid w:val="00614799"/>
    <w:rsid w:val="00615D0E"/>
    <w:rsid w:val="00615E27"/>
    <w:rsid w:val="00616685"/>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975"/>
    <w:rsid w:val="00631F71"/>
    <w:rsid w:val="006328A6"/>
    <w:rsid w:val="0063336C"/>
    <w:rsid w:val="00633471"/>
    <w:rsid w:val="00633B1C"/>
    <w:rsid w:val="00633C00"/>
    <w:rsid w:val="006349A7"/>
    <w:rsid w:val="00634C01"/>
    <w:rsid w:val="00634DD7"/>
    <w:rsid w:val="00634EA3"/>
    <w:rsid w:val="00635717"/>
    <w:rsid w:val="0063636B"/>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0C2F"/>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32E"/>
    <w:rsid w:val="0066217F"/>
    <w:rsid w:val="00662694"/>
    <w:rsid w:val="00662743"/>
    <w:rsid w:val="00662DA2"/>
    <w:rsid w:val="006633C8"/>
    <w:rsid w:val="0066350F"/>
    <w:rsid w:val="00663627"/>
    <w:rsid w:val="00665820"/>
    <w:rsid w:val="00666579"/>
    <w:rsid w:val="00666A21"/>
    <w:rsid w:val="00666FFD"/>
    <w:rsid w:val="00667755"/>
    <w:rsid w:val="00667801"/>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5E1"/>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43EC"/>
    <w:rsid w:val="006A790B"/>
    <w:rsid w:val="006A7B7D"/>
    <w:rsid w:val="006B01F7"/>
    <w:rsid w:val="006B33B8"/>
    <w:rsid w:val="006B34B3"/>
    <w:rsid w:val="006B371D"/>
    <w:rsid w:val="006B4156"/>
    <w:rsid w:val="006B537D"/>
    <w:rsid w:val="006B556B"/>
    <w:rsid w:val="006B5AAA"/>
    <w:rsid w:val="006B5DBA"/>
    <w:rsid w:val="006B65A1"/>
    <w:rsid w:val="006B6AB6"/>
    <w:rsid w:val="006B717C"/>
    <w:rsid w:val="006B732C"/>
    <w:rsid w:val="006C05C5"/>
    <w:rsid w:val="006C093D"/>
    <w:rsid w:val="006C163A"/>
    <w:rsid w:val="006C1D68"/>
    <w:rsid w:val="006C3252"/>
    <w:rsid w:val="006C331E"/>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F8"/>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29E"/>
    <w:rsid w:val="00700342"/>
    <w:rsid w:val="007006E7"/>
    <w:rsid w:val="0070078A"/>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42A5"/>
    <w:rsid w:val="0072615B"/>
    <w:rsid w:val="007267CF"/>
    <w:rsid w:val="007273FA"/>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E8C"/>
    <w:rsid w:val="007A05B6"/>
    <w:rsid w:val="007A141E"/>
    <w:rsid w:val="007A1AA9"/>
    <w:rsid w:val="007A1D0F"/>
    <w:rsid w:val="007A3667"/>
    <w:rsid w:val="007A3AB1"/>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108"/>
    <w:rsid w:val="007B74C7"/>
    <w:rsid w:val="007B7B09"/>
    <w:rsid w:val="007B7C01"/>
    <w:rsid w:val="007C115F"/>
    <w:rsid w:val="007C1B6C"/>
    <w:rsid w:val="007C29E1"/>
    <w:rsid w:val="007C2CEC"/>
    <w:rsid w:val="007C3391"/>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62DE"/>
    <w:rsid w:val="008409AE"/>
    <w:rsid w:val="00840EA7"/>
    <w:rsid w:val="008428E1"/>
    <w:rsid w:val="00842F87"/>
    <w:rsid w:val="008432CC"/>
    <w:rsid w:val="00843CE4"/>
    <w:rsid w:val="0084425F"/>
    <w:rsid w:val="00844E79"/>
    <w:rsid w:val="008465D2"/>
    <w:rsid w:val="00847308"/>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8DC"/>
    <w:rsid w:val="00891958"/>
    <w:rsid w:val="00892A08"/>
    <w:rsid w:val="008943CF"/>
    <w:rsid w:val="008945D6"/>
    <w:rsid w:val="00895C0F"/>
    <w:rsid w:val="00895FE5"/>
    <w:rsid w:val="00896FAB"/>
    <w:rsid w:val="008973E6"/>
    <w:rsid w:val="00897778"/>
    <w:rsid w:val="00897A39"/>
    <w:rsid w:val="00897BD4"/>
    <w:rsid w:val="008A08A4"/>
    <w:rsid w:val="008A142D"/>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8AC"/>
    <w:rsid w:val="008B7B4F"/>
    <w:rsid w:val="008B7F2F"/>
    <w:rsid w:val="008C0ECB"/>
    <w:rsid w:val="008C1818"/>
    <w:rsid w:val="008C3094"/>
    <w:rsid w:val="008C30A0"/>
    <w:rsid w:val="008C3173"/>
    <w:rsid w:val="008C3DF1"/>
    <w:rsid w:val="008C42FB"/>
    <w:rsid w:val="008C45B6"/>
    <w:rsid w:val="008C54D9"/>
    <w:rsid w:val="008C5E4C"/>
    <w:rsid w:val="008D0F23"/>
    <w:rsid w:val="008D1B34"/>
    <w:rsid w:val="008D2B93"/>
    <w:rsid w:val="008D31AD"/>
    <w:rsid w:val="008D3802"/>
    <w:rsid w:val="008D4A14"/>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99F"/>
    <w:rsid w:val="008E6B75"/>
    <w:rsid w:val="008E6C61"/>
    <w:rsid w:val="008E7F9D"/>
    <w:rsid w:val="008F05DE"/>
    <w:rsid w:val="008F09AE"/>
    <w:rsid w:val="008F0AC3"/>
    <w:rsid w:val="008F1DC5"/>
    <w:rsid w:val="008F1F8E"/>
    <w:rsid w:val="008F2299"/>
    <w:rsid w:val="008F2441"/>
    <w:rsid w:val="008F28C0"/>
    <w:rsid w:val="008F2AFB"/>
    <w:rsid w:val="008F2F29"/>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6C20"/>
    <w:rsid w:val="00937266"/>
    <w:rsid w:val="00940AA9"/>
    <w:rsid w:val="00941264"/>
    <w:rsid w:val="0094296E"/>
    <w:rsid w:val="0094298C"/>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4DC0"/>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5B0C"/>
    <w:rsid w:val="009E6C19"/>
    <w:rsid w:val="009E6E2F"/>
    <w:rsid w:val="009F0845"/>
    <w:rsid w:val="009F1EDE"/>
    <w:rsid w:val="009F2CEE"/>
    <w:rsid w:val="009F3813"/>
    <w:rsid w:val="009F3F1F"/>
    <w:rsid w:val="009F426B"/>
    <w:rsid w:val="009F6192"/>
    <w:rsid w:val="009F636E"/>
    <w:rsid w:val="009F672D"/>
    <w:rsid w:val="009F6E2E"/>
    <w:rsid w:val="009F7EA7"/>
    <w:rsid w:val="00A000EF"/>
    <w:rsid w:val="00A00395"/>
    <w:rsid w:val="00A01663"/>
    <w:rsid w:val="00A01B93"/>
    <w:rsid w:val="00A037A5"/>
    <w:rsid w:val="00A04292"/>
    <w:rsid w:val="00A04A51"/>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137A"/>
    <w:rsid w:val="00A21480"/>
    <w:rsid w:val="00A23BE3"/>
    <w:rsid w:val="00A24116"/>
    <w:rsid w:val="00A242BE"/>
    <w:rsid w:val="00A25BB6"/>
    <w:rsid w:val="00A27159"/>
    <w:rsid w:val="00A278EB"/>
    <w:rsid w:val="00A320D9"/>
    <w:rsid w:val="00A326BC"/>
    <w:rsid w:val="00A32801"/>
    <w:rsid w:val="00A33A01"/>
    <w:rsid w:val="00A33BC1"/>
    <w:rsid w:val="00A33C4B"/>
    <w:rsid w:val="00A33F92"/>
    <w:rsid w:val="00A342EB"/>
    <w:rsid w:val="00A350C4"/>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FB9"/>
    <w:rsid w:val="00A46FFE"/>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4A"/>
    <w:rsid w:val="00A655D6"/>
    <w:rsid w:val="00A656CE"/>
    <w:rsid w:val="00A661A9"/>
    <w:rsid w:val="00A66B5B"/>
    <w:rsid w:val="00A66E07"/>
    <w:rsid w:val="00A672B3"/>
    <w:rsid w:val="00A676CB"/>
    <w:rsid w:val="00A67BE5"/>
    <w:rsid w:val="00A70D4D"/>
    <w:rsid w:val="00A719BF"/>
    <w:rsid w:val="00A71A83"/>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349"/>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FF1"/>
    <w:rsid w:val="00AC3092"/>
    <w:rsid w:val="00AC319E"/>
    <w:rsid w:val="00AC3729"/>
    <w:rsid w:val="00AC3ACD"/>
    <w:rsid w:val="00AC5988"/>
    <w:rsid w:val="00AC6DB3"/>
    <w:rsid w:val="00AC7B9C"/>
    <w:rsid w:val="00AD04FE"/>
    <w:rsid w:val="00AD1327"/>
    <w:rsid w:val="00AD15D0"/>
    <w:rsid w:val="00AD172C"/>
    <w:rsid w:val="00AD1F50"/>
    <w:rsid w:val="00AD48BD"/>
    <w:rsid w:val="00AD5212"/>
    <w:rsid w:val="00AD5E4E"/>
    <w:rsid w:val="00AD5E74"/>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E14"/>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C08"/>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2FFE"/>
    <w:rsid w:val="00B9305E"/>
    <w:rsid w:val="00B93B5F"/>
    <w:rsid w:val="00B93BBA"/>
    <w:rsid w:val="00B94445"/>
    <w:rsid w:val="00B9493B"/>
    <w:rsid w:val="00B97115"/>
    <w:rsid w:val="00B976D7"/>
    <w:rsid w:val="00BA02AD"/>
    <w:rsid w:val="00BA06AE"/>
    <w:rsid w:val="00BA0C55"/>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402"/>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041"/>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3EE4"/>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0DDD"/>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E81"/>
    <w:rsid w:val="00C700FE"/>
    <w:rsid w:val="00C72424"/>
    <w:rsid w:val="00C72FD9"/>
    <w:rsid w:val="00C73E8B"/>
    <w:rsid w:val="00C74D1B"/>
    <w:rsid w:val="00C74F5C"/>
    <w:rsid w:val="00C75C02"/>
    <w:rsid w:val="00C76176"/>
    <w:rsid w:val="00C76BFE"/>
    <w:rsid w:val="00C77681"/>
    <w:rsid w:val="00C77D90"/>
    <w:rsid w:val="00C808F0"/>
    <w:rsid w:val="00C809E5"/>
    <w:rsid w:val="00C846AC"/>
    <w:rsid w:val="00C8494C"/>
    <w:rsid w:val="00C85BB7"/>
    <w:rsid w:val="00C86B76"/>
    <w:rsid w:val="00C86EE2"/>
    <w:rsid w:val="00C87920"/>
    <w:rsid w:val="00C87C25"/>
    <w:rsid w:val="00C87D04"/>
    <w:rsid w:val="00C901B5"/>
    <w:rsid w:val="00C903CD"/>
    <w:rsid w:val="00C9046D"/>
    <w:rsid w:val="00C904DC"/>
    <w:rsid w:val="00C92155"/>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25F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850"/>
    <w:rsid w:val="00CE6A0D"/>
    <w:rsid w:val="00CE71E6"/>
    <w:rsid w:val="00CE72B8"/>
    <w:rsid w:val="00CE76BE"/>
    <w:rsid w:val="00CF08AB"/>
    <w:rsid w:val="00CF0FEE"/>
    <w:rsid w:val="00CF19D8"/>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23F7"/>
    <w:rsid w:val="00D1409F"/>
    <w:rsid w:val="00D14494"/>
    <w:rsid w:val="00D14648"/>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0C9D"/>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49DF"/>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D2F"/>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072B"/>
    <w:rsid w:val="00D9125F"/>
    <w:rsid w:val="00D91451"/>
    <w:rsid w:val="00D9169B"/>
    <w:rsid w:val="00D91B68"/>
    <w:rsid w:val="00D926EB"/>
    <w:rsid w:val="00D945AC"/>
    <w:rsid w:val="00D94985"/>
    <w:rsid w:val="00D956AE"/>
    <w:rsid w:val="00D95A0D"/>
    <w:rsid w:val="00D95E62"/>
    <w:rsid w:val="00D97119"/>
    <w:rsid w:val="00D974E4"/>
    <w:rsid w:val="00D97A46"/>
    <w:rsid w:val="00D97B49"/>
    <w:rsid w:val="00DA05D5"/>
    <w:rsid w:val="00DA0924"/>
    <w:rsid w:val="00DA29A1"/>
    <w:rsid w:val="00DA2BE1"/>
    <w:rsid w:val="00DA420D"/>
    <w:rsid w:val="00DA4F34"/>
    <w:rsid w:val="00DA52B5"/>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B2E"/>
    <w:rsid w:val="00DC5E7C"/>
    <w:rsid w:val="00DC693A"/>
    <w:rsid w:val="00DC7228"/>
    <w:rsid w:val="00DC7B0D"/>
    <w:rsid w:val="00DC7CBE"/>
    <w:rsid w:val="00DD11EC"/>
    <w:rsid w:val="00DD1A9A"/>
    <w:rsid w:val="00DD1F42"/>
    <w:rsid w:val="00DD23B6"/>
    <w:rsid w:val="00DD34C0"/>
    <w:rsid w:val="00DD4EA3"/>
    <w:rsid w:val="00DD5193"/>
    <w:rsid w:val="00DD5970"/>
    <w:rsid w:val="00DD5E92"/>
    <w:rsid w:val="00DD70A3"/>
    <w:rsid w:val="00DE02C1"/>
    <w:rsid w:val="00DE1C7E"/>
    <w:rsid w:val="00DE1E18"/>
    <w:rsid w:val="00DE1E23"/>
    <w:rsid w:val="00DE219D"/>
    <w:rsid w:val="00DE23E7"/>
    <w:rsid w:val="00DE2E13"/>
    <w:rsid w:val="00DE3856"/>
    <w:rsid w:val="00DE415E"/>
    <w:rsid w:val="00DE5343"/>
    <w:rsid w:val="00DE5BEF"/>
    <w:rsid w:val="00DE66CD"/>
    <w:rsid w:val="00DE6958"/>
    <w:rsid w:val="00DE755D"/>
    <w:rsid w:val="00DF01D9"/>
    <w:rsid w:val="00DF14FB"/>
    <w:rsid w:val="00DF2A72"/>
    <w:rsid w:val="00DF3887"/>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B83"/>
    <w:rsid w:val="00E11427"/>
    <w:rsid w:val="00E1169A"/>
    <w:rsid w:val="00E12598"/>
    <w:rsid w:val="00E13FD8"/>
    <w:rsid w:val="00E14B78"/>
    <w:rsid w:val="00E1542D"/>
    <w:rsid w:val="00E159FD"/>
    <w:rsid w:val="00E15EC4"/>
    <w:rsid w:val="00E165CF"/>
    <w:rsid w:val="00E166ED"/>
    <w:rsid w:val="00E1699F"/>
    <w:rsid w:val="00E20E34"/>
    <w:rsid w:val="00E212B1"/>
    <w:rsid w:val="00E21380"/>
    <w:rsid w:val="00E21E0B"/>
    <w:rsid w:val="00E234B9"/>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981"/>
    <w:rsid w:val="00E55E94"/>
    <w:rsid w:val="00E5648B"/>
    <w:rsid w:val="00E56F98"/>
    <w:rsid w:val="00E56FD5"/>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536C"/>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BCC"/>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D63"/>
    <w:rsid w:val="00F17E4B"/>
    <w:rsid w:val="00F2074F"/>
    <w:rsid w:val="00F21995"/>
    <w:rsid w:val="00F21B41"/>
    <w:rsid w:val="00F23678"/>
    <w:rsid w:val="00F23747"/>
    <w:rsid w:val="00F24307"/>
    <w:rsid w:val="00F2497D"/>
    <w:rsid w:val="00F252EE"/>
    <w:rsid w:val="00F258D4"/>
    <w:rsid w:val="00F265C9"/>
    <w:rsid w:val="00F2670F"/>
    <w:rsid w:val="00F26FDE"/>
    <w:rsid w:val="00F30B00"/>
    <w:rsid w:val="00F314FE"/>
    <w:rsid w:val="00F31BBD"/>
    <w:rsid w:val="00F3318B"/>
    <w:rsid w:val="00F337B5"/>
    <w:rsid w:val="00F34BD5"/>
    <w:rsid w:val="00F3569A"/>
    <w:rsid w:val="00F35823"/>
    <w:rsid w:val="00F35D1B"/>
    <w:rsid w:val="00F35D8B"/>
    <w:rsid w:val="00F35DD8"/>
    <w:rsid w:val="00F36059"/>
    <w:rsid w:val="00F37823"/>
    <w:rsid w:val="00F3785E"/>
    <w:rsid w:val="00F3796F"/>
    <w:rsid w:val="00F37FBD"/>
    <w:rsid w:val="00F40B91"/>
    <w:rsid w:val="00F40EF9"/>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322"/>
    <w:rsid w:val="00F729CF"/>
    <w:rsid w:val="00F72FC2"/>
    <w:rsid w:val="00F749A8"/>
    <w:rsid w:val="00F74F32"/>
    <w:rsid w:val="00F75C81"/>
    <w:rsid w:val="00F75FC4"/>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8A1"/>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706"/>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A6E999-C03F-4B72-838B-F7731843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6C343-103E-44A6-880D-6E1EC718B214}"/>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242</Words>
  <Characters>1384</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Lymphir SGM 6612-A 2024</vt:lpstr>
      <vt:lpstr>Specialty Guideline Management Lymphir</vt:lpstr>
      <vt:lpstr>    Products Referenced by this Document</vt:lpstr>
      <vt:lpstr>    Indications</vt:lpstr>
      <vt:lpstr>        FDA-approved Indications1</vt:lpstr>
      <vt:lpstr>        Compendial Uses2</vt:lpstr>
      <vt:lpstr>    Coverage Criteria</vt:lpstr>
      <vt:lpstr>        Cutaneous T-Cell Lymphoma1,2</vt:lpstr>
      <vt:lpstr>    Continuation of Therapy</vt:lpstr>
      <vt:lpstr>    References</vt:lpstr>
      <vt:lpstr>    Document History</vt:lpstr>
    </vt:vector>
  </TitlesOfParts>
  <Company>PCS Health Systems</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Lymphir SGM 6612-A</dc:title>
  <dc:subject/>
  <dc:creator>CVS Caremark</dc:creator>
  <cp:keywords/>
  <cp:lastModifiedBy>Huerta, Linda M</cp:lastModifiedBy>
  <cp:revision>3</cp:revision>
  <cp:lastPrinted>2018-01-09T08:01:00Z</cp:lastPrinted>
  <dcterms:created xsi:type="dcterms:W3CDTF">2025-04-23T14:17:00Z</dcterms:created>
  <dcterms:modified xsi:type="dcterms:W3CDTF">2025-04-23T14:17:00Z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2084700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